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標題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崇德學院｜訪道住宿收費標準（正式版）</w:t>
      </w:r>
    </w:p>
    <w:p>
      <w:pPr>
        <w:pStyle w:val="標題 2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一、房型與定價（訪道統一身份）</w:t>
      </w: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5"/>
        <w:gridCol w:w="1457"/>
        <w:gridCol w:w="2036"/>
        <w:gridCol w:w="2972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15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房型</w:t>
            </w:r>
          </w:p>
        </w:tc>
        <w:tc>
          <w:tcPr>
            <w:tcW w:type="dxa" w:w="145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入住人數</w:t>
            </w:r>
          </w:p>
        </w:tc>
        <w:tc>
          <w:tcPr>
            <w:tcW w:type="dxa" w:w="203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訪道折扣後房價</w:t>
            </w:r>
          </w:p>
        </w:tc>
        <w:tc>
          <w:tcPr>
            <w:tcW w:type="dxa" w:w="2971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備註：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15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二人房</w:t>
            </w:r>
          </w:p>
        </w:tc>
        <w:tc>
          <w:tcPr>
            <w:tcW w:type="dxa" w:w="145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 xml:space="preserve">2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人</w:t>
            </w:r>
          </w:p>
        </w:tc>
        <w:tc>
          <w:tcPr>
            <w:tcW w:type="dxa" w:w="203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>1200</w:t>
            </w:r>
          </w:p>
        </w:tc>
        <w:tc>
          <w:tcPr>
            <w:tcW w:type="dxa" w:w="2971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不加床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zh-TW" w:eastAsia="zh-TW"/>
              </w:rPr>
              <w:t>、不含早、不含備品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15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三人房</w:t>
            </w:r>
          </w:p>
        </w:tc>
        <w:tc>
          <w:tcPr>
            <w:tcW w:type="dxa" w:w="145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 xml:space="preserve">3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人</w:t>
            </w:r>
          </w:p>
        </w:tc>
        <w:tc>
          <w:tcPr>
            <w:tcW w:type="dxa" w:w="203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>1500</w:t>
            </w:r>
          </w:p>
        </w:tc>
        <w:tc>
          <w:tcPr>
            <w:tcW w:type="dxa" w:w="2971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不加床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zh-TW" w:eastAsia="zh-TW"/>
              </w:rPr>
              <w:t>、不含早、不含備品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15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四人房</w:t>
            </w:r>
          </w:p>
        </w:tc>
        <w:tc>
          <w:tcPr>
            <w:tcW w:type="dxa" w:w="145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 xml:space="preserve">4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人</w:t>
            </w:r>
          </w:p>
        </w:tc>
        <w:tc>
          <w:tcPr>
            <w:tcW w:type="dxa" w:w="203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>2000</w:t>
            </w:r>
          </w:p>
        </w:tc>
        <w:tc>
          <w:tcPr>
            <w:tcW w:type="dxa" w:w="2971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不加床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zh-TW" w:eastAsia="zh-TW"/>
              </w:rPr>
              <w:t>、不含早、不含備品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15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八人房</w:t>
            </w:r>
          </w:p>
        </w:tc>
        <w:tc>
          <w:tcPr>
            <w:tcW w:type="dxa" w:w="145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 xml:space="preserve">8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人</w:t>
            </w:r>
          </w:p>
        </w:tc>
        <w:tc>
          <w:tcPr>
            <w:tcW w:type="dxa" w:w="2035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>4000</w:t>
            </w:r>
          </w:p>
        </w:tc>
        <w:tc>
          <w:tcPr>
            <w:tcW w:type="dxa" w:w="2971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不加床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zh-TW" w:eastAsia="zh-TW"/>
              </w:rPr>
              <w:t>、不含早、不含備品</w:t>
            </w:r>
          </w:p>
        </w:tc>
      </w:tr>
    </w:tbl>
    <w:p>
      <w:pPr>
        <w:pStyle w:val="標題 2"/>
        <w:widowControl w:val="0"/>
        <w:spacing w:line="240" w:lineRule="auto"/>
      </w:pPr>
    </w:p>
    <w:p>
      <w:pPr>
        <w:pStyle w:val="內文"/>
      </w:pPr>
    </w:p>
    <w:p>
      <w:pPr>
        <w:pStyle w:val="標題 2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二、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計價參考</w:t>
      </w:r>
      <w:r>
        <w:rPr>
          <w:rFonts w:ascii="Calibri" w:hAnsi="Calibri" w:hint="default"/>
          <w:rtl w:val="0"/>
          <w:lang w:val="zh-TW" w:eastAsia="zh-TW"/>
        </w:rPr>
        <w:t>——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加人收費（不折扣）</w:t>
      </w:r>
    </w:p>
    <w:tbl>
      <w:tblPr>
        <w:tblW w:w="86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73"/>
        <w:gridCol w:w="2337"/>
        <w:gridCol w:w="3410"/>
      </w:tblGrid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873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身份</w:t>
            </w:r>
          </w:p>
        </w:tc>
        <w:tc>
          <w:tcPr>
            <w:tcW w:type="dxa" w:w="233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收費</w:t>
            </w:r>
          </w:p>
        </w:tc>
        <w:tc>
          <w:tcPr>
            <w:tcW w:type="dxa" w:w="3409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備註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873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成人</w:t>
            </w:r>
          </w:p>
        </w:tc>
        <w:tc>
          <w:tcPr>
            <w:tcW w:type="dxa" w:w="233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rtl w:val="0"/>
                <w:lang w:val="en-US"/>
              </w:rPr>
              <w:t>5</w:t>
            </w: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 xml:space="preserve">00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元／人</w:t>
            </w:r>
          </w:p>
        </w:tc>
        <w:tc>
          <w:tcPr>
            <w:tcW w:type="dxa" w:w="3409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不加床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zh-TW" w:eastAsia="zh-TW"/>
              </w:rPr>
              <w:t>、不含早、不含備品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873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國小學生</w:t>
            </w:r>
          </w:p>
        </w:tc>
        <w:tc>
          <w:tcPr>
            <w:tcW w:type="dxa" w:w="233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Cambria" w:hAnsi="Cambria"/>
                <w:rtl w:val="0"/>
                <w:lang w:val="en-US"/>
              </w:rPr>
              <w:t>2</w:t>
            </w:r>
            <w:r>
              <w:rPr>
                <w:rFonts w:ascii="Cambria" w:hAnsi="Cambria"/>
                <w:shd w:val="nil" w:color="auto" w:fill="auto"/>
                <w:rtl w:val="0"/>
                <w:lang w:val="en-US"/>
              </w:rPr>
              <w:t xml:space="preserve">00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元／人</w:t>
            </w:r>
          </w:p>
        </w:tc>
        <w:tc>
          <w:tcPr>
            <w:tcW w:type="dxa" w:w="3409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不加床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zh-TW" w:eastAsia="zh-TW"/>
              </w:rPr>
              <w:t>、不含早、不含備品</w:t>
            </w:r>
          </w:p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2873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幼兒園</w:t>
            </w:r>
          </w:p>
        </w:tc>
        <w:tc>
          <w:tcPr>
            <w:tcW w:type="dxa" w:w="2337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免費</w:t>
            </w:r>
          </w:p>
        </w:tc>
        <w:tc>
          <w:tcPr>
            <w:tcW w:type="dxa" w:w="3409"/>
            <w:tcBorders>
              <w:top w:val="single" w:color="525252" w:sz="8" w:space="0" w:shadow="0" w:frame="0"/>
              <w:left w:val="single" w:color="525252" w:sz="8" w:space="0" w:shadow="0" w:frame="0"/>
              <w:bottom w:val="single" w:color="525252" w:sz="8" w:space="0" w:shadow="0" w:frame="0"/>
              <w:right w:val="single" w:color="525252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內文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不加床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hd w:val="nil" w:color="auto" w:fill="auto"/>
                <w:rtl w:val="0"/>
                <w:lang w:val="zh-TW" w:eastAsia="zh-TW"/>
              </w:rPr>
              <w:t>、不含早、不含備品</w:t>
            </w:r>
          </w:p>
        </w:tc>
      </w:tr>
    </w:tbl>
    <w:p>
      <w:pPr>
        <w:pStyle w:val="標題 2"/>
        <w:widowControl w:val="0"/>
        <w:spacing w:line="240" w:lineRule="auto"/>
      </w:pPr>
    </w:p>
    <w:p>
      <w:pPr>
        <w:pStyle w:val="內文"/>
      </w:pPr>
    </w:p>
    <w:p>
      <w:pPr>
        <w:pStyle w:val="標題 2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三、定價邏輯說明</w:t>
      </w:r>
    </w:p>
    <w:p>
      <w:pPr>
        <w:pStyle w:val="內文"/>
      </w:pPr>
      <w:r>
        <w:rPr>
          <w:rFonts w:ascii="Cambria" w:hAnsi="Cambria"/>
          <w:rtl w:val="0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住宿折扣身份統一為「訪道」。</w:t>
      </w:r>
    </w:p>
    <w:p>
      <w:pPr>
        <w:pStyle w:val="內文"/>
      </w:pPr>
      <w:r>
        <w:rPr>
          <w:rFonts w:ascii="Cambria" w:hAnsi="Cambria"/>
          <w:rtl w:val="0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二人房為基準價：</w:t>
      </w:r>
      <w:r>
        <w:rPr>
          <w:rFonts w:ascii="Cambria" w:hAnsi="Cambria"/>
          <w:rtl w:val="0"/>
        </w:rPr>
        <w:t xml:space="preserve">2000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元，訪道折扣後：</w:t>
      </w:r>
      <w:r>
        <w:rPr>
          <w:rFonts w:ascii="Cambria" w:hAnsi="Cambria"/>
          <w:rtl w:val="0"/>
        </w:rPr>
        <w:t xml:space="preserve">7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折＝</w:t>
      </w:r>
      <w:r>
        <w:rPr>
          <w:rFonts w:ascii="Cambria" w:hAnsi="Cambria"/>
          <w:rtl w:val="0"/>
        </w:rPr>
        <w:t xml:space="preserve">1400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元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，再扣二人早餐</w:t>
      </w:r>
      <w:r>
        <w:rPr>
          <w:rFonts w:ascii="Cambria" w:hAnsi="Cambria"/>
          <w:rtl w:val="0"/>
          <w:lang w:val="en-US"/>
        </w:rPr>
        <w:t>200=1200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元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。</w:t>
      </w:r>
      <w:r/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TC Regular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頁首與頁尾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頁首與頁尾">
    <w:name w:val="頁首與頁尾"/>
    <w:next w:val="頁首與頁尾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TC Regular" w:cs="Arial Unicode MS" w:hAnsi="PingFang T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標題">
    <w:name w:val="標題"/>
    <w:next w:val="內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內文">
    <w:name w:val="內文"/>
    <w:next w:val="內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標題 2">
    <w:name w:val="標題 2"/>
    <w:next w:val="內文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Arial Unicode MS" w:cs="Arial Unicode MS" w:hAnsi="Arial Unicode MS" w:eastAsia="Arial Unicode MS" w:hint="eastAs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